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8" w:rsidRPr="00C33E16" w:rsidRDefault="00AA67C9" w:rsidP="00814561">
      <w:pPr>
        <w:spacing w:line="240" w:lineRule="auto"/>
        <w:rPr>
          <w:rFonts w:ascii="Times New Roman" w:hAnsi="Times New Roman" w:cs="Times New Roman"/>
          <w:sz w:val="26"/>
          <w:szCs w:val="26"/>
        </w:rPr>
      </w:pPr>
      <w:r w:rsidRPr="00C33E16">
        <w:rPr>
          <w:rFonts w:ascii="Times New Roman" w:hAnsi="Times New Roman" w:cs="Times New Roman"/>
          <w:sz w:val="26"/>
          <w:szCs w:val="26"/>
        </w:rPr>
        <w:t>Основные положения учетной политик</w:t>
      </w:r>
      <w:r w:rsidR="00E57F4D">
        <w:rPr>
          <w:rFonts w:ascii="Times New Roman" w:hAnsi="Times New Roman" w:cs="Times New Roman"/>
          <w:sz w:val="26"/>
          <w:szCs w:val="26"/>
        </w:rPr>
        <w:t>и</w:t>
      </w:r>
    </w:p>
    <w:p w:rsidR="00C7690E" w:rsidRPr="00C33E16" w:rsidRDefault="00EB4890" w:rsidP="00EB4890">
      <w:pPr>
        <w:spacing w:line="240" w:lineRule="auto"/>
        <w:rPr>
          <w:rFonts w:ascii="Times New Roman" w:hAnsi="Times New Roman" w:cs="Times New Roman"/>
          <w:b/>
          <w:bCs/>
          <w:sz w:val="26"/>
          <w:szCs w:val="26"/>
        </w:rPr>
      </w:pPr>
      <w:r>
        <w:rPr>
          <w:rFonts w:ascii="Times New Roman" w:hAnsi="Times New Roman" w:cs="Times New Roman"/>
          <w:sz w:val="26"/>
          <w:szCs w:val="26"/>
        </w:rPr>
        <w:t xml:space="preserve"> </w:t>
      </w:r>
      <w:r w:rsidR="00C7690E" w:rsidRPr="00C33E16">
        <w:rPr>
          <w:rFonts w:ascii="Times New Roman" w:hAnsi="Times New Roman" w:cs="Times New Roman"/>
          <w:b/>
          <w:bCs/>
          <w:sz w:val="26"/>
          <w:szCs w:val="26"/>
        </w:rPr>
        <w:t>Общие вопросы организации учета</w:t>
      </w:r>
      <w:r w:rsidR="00C33E16">
        <w:rPr>
          <w:rFonts w:ascii="Times New Roman" w:hAnsi="Times New Roman" w:cs="Times New Roman"/>
          <w:b/>
          <w:bCs/>
          <w:sz w:val="26"/>
          <w:szCs w:val="26"/>
        </w:rPr>
        <w:t>.</w:t>
      </w:r>
    </w:p>
    <w:p w:rsidR="00C7690E" w:rsidRPr="00C33E16" w:rsidRDefault="00C7690E" w:rsidP="00C95303">
      <w:pPr>
        <w:pStyle w:val="a3"/>
        <w:spacing w:after="0"/>
        <w:ind w:firstLine="567"/>
        <w:jc w:val="both"/>
        <w:rPr>
          <w:sz w:val="26"/>
          <w:szCs w:val="26"/>
          <w:lang w:val="ru-RU"/>
        </w:rPr>
      </w:pPr>
      <w:r w:rsidRPr="00C33E16">
        <w:rPr>
          <w:sz w:val="26"/>
          <w:szCs w:val="26"/>
        </w:rPr>
        <w:t>Обязанности ведения бухгалтерского и налогового учета возложены на специализированную организацию, занимающуюся оказанием услуг по ведению бухгалтерского учета. Бухгалтерское обслуживание осуществляется на  основании договора</w:t>
      </w:r>
      <w:r w:rsidRPr="00C33E16">
        <w:rPr>
          <w:sz w:val="26"/>
          <w:szCs w:val="26"/>
          <w:lang w:val="ru-RU"/>
        </w:rPr>
        <w:t xml:space="preserve"> - поручения </w:t>
      </w:r>
      <w:r w:rsidRPr="00C33E16">
        <w:rPr>
          <w:sz w:val="26"/>
          <w:szCs w:val="26"/>
        </w:rPr>
        <w:t xml:space="preserve"> с </w:t>
      </w:r>
      <w:r w:rsidRPr="00C33E16">
        <w:rPr>
          <w:sz w:val="26"/>
          <w:szCs w:val="26"/>
          <w:lang w:val="ru-RU"/>
        </w:rPr>
        <w:t>Муниципальным казенным учреждением «Центр экономики и финансов»</w:t>
      </w:r>
      <w:r w:rsidRPr="00C33E16">
        <w:rPr>
          <w:sz w:val="26"/>
          <w:szCs w:val="26"/>
        </w:rPr>
        <w:t>: ИНН 4716023743, КПП 471601001. Юридический адрес: 187000, Ленинградская область, г. Тосно, ул. Советская д. 10а</w:t>
      </w:r>
      <w:r w:rsidRPr="00C33E16">
        <w:rPr>
          <w:sz w:val="26"/>
          <w:szCs w:val="26"/>
          <w:lang w:val="ru-RU"/>
        </w:rPr>
        <w:t>.</w:t>
      </w:r>
    </w:p>
    <w:p w:rsidR="00BC539F" w:rsidRPr="009D0930" w:rsidRDefault="00BC539F" w:rsidP="00C95303">
      <w:pPr>
        <w:pStyle w:val="a3"/>
        <w:spacing w:after="0"/>
        <w:ind w:firstLine="567"/>
        <w:jc w:val="both"/>
        <w:rPr>
          <w:rStyle w:val="a6"/>
          <w:rFonts w:ascii="Times New Roman" w:hAnsi="Times New Roman"/>
          <w:i w:val="0"/>
          <w:iCs/>
          <w:sz w:val="26"/>
          <w:szCs w:val="26"/>
          <w:lang w:val="ru-RU"/>
        </w:rPr>
      </w:pPr>
      <w:r w:rsidRPr="00C33E16">
        <w:rPr>
          <w:sz w:val="26"/>
          <w:szCs w:val="26"/>
          <w:lang w:val="ru-RU"/>
        </w:rPr>
        <w:t>Технология о</w:t>
      </w:r>
      <w:proofErr w:type="spellStart"/>
      <w:r w:rsidRPr="00C33E16">
        <w:rPr>
          <w:sz w:val="26"/>
          <w:szCs w:val="26"/>
        </w:rPr>
        <w:t>бработк</w:t>
      </w:r>
      <w:r w:rsidRPr="00C33E16">
        <w:rPr>
          <w:sz w:val="26"/>
          <w:szCs w:val="26"/>
          <w:lang w:val="ru-RU"/>
        </w:rPr>
        <w:t>и</w:t>
      </w:r>
      <w:proofErr w:type="spellEnd"/>
      <w:r w:rsidRPr="00C33E16">
        <w:rPr>
          <w:sz w:val="26"/>
          <w:szCs w:val="26"/>
        </w:rPr>
        <w:t xml:space="preserve"> учетной информации (документации) осуществляется с применением программного обеспечения </w:t>
      </w:r>
      <w:r w:rsidRPr="00C33E16">
        <w:rPr>
          <w:rStyle w:val="a6"/>
          <w:rFonts w:ascii="Times New Roman" w:hAnsi="Times New Roman"/>
          <w:i w:val="0"/>
          <w:iCs/>
          <w:sz w:val="26"/>
          <w:szCs w:val="26"/>
        </w:rPr>
        <w:t>1С Предприятие: Бюджет, Парус: Бюджет</w:t>
      </w:r>
      <w:r w:rsidR="009D0930">
        <w:rPr>
          <w:rStyle w:val="a6"/>
          <w:rFonts w:ascii="Times New Roman" w:hAnsi="Times New Roman"/>
          <w:i w:val="0"/>
          <w:iCs/>
          <w:sz w:val="26"/>
          <w:szCs w:val="26"/>
          <w:lang w:val="ru-RU"/>
        </w:rPr>
        <w:t>.</w:t>
      </w:r>
    </w:p>
    <w:p w:rsidR="00F9596A" w:rsidRDefault="00814561" w:rsidP="00C95303">
      <w:pPr>
        <w:pStyle w:val="a3"/>
        <w:spacing w:after="0"/>
        <w:ind w:firstLine="567"/>
        <w:jc w:val="both"/>
        <w:rPr>
          <w:sz w:val="26"/>
          <w:szCs w:val="26"/>
          <w:lang w:val="ru-RU"/>
        </w:rPr>
      </w:pPr>
      <w:r w:rsidRPr="00C33E16">
        <w:rPr>
          <w:sz w:val="26"/>
          <w:szCs w:val="26"/>
        </w:rPr>
        <w:t xml:space="preserve">Порядок и сроки передачи </w:t>
      </w:r>
      <w:r w:rsidRPr="00C33E16">
        <w:rPr>
          <w:sz w:val="26"/>
          <w:szCs w:val="26"/>
          <w:lang w:val="ru-RU"/>
        </w:rPr>
        <w:t xml:space="preserve">первичных учетных </w:t>
      </w:r>
      <w:r w:rsidRPr="00C33E16">
        <w:rPr>
          <w:sz w:val="26"/>
          <w:szCs w:val="26"/>
        </w:rPr>
        <w:t>документов для отражения в учете</w:t>
      </w:r>
      <w:r w:rsidRPr="00C33E16">
        <w:rPr>
          <w:sz w:val="26"/>
          <w:szCs w:val="26"/>
          <w:lang w:val="ru-RU"/>
        </w:rPr>
        <w:t>, технология обработки</w:t>
      </w:r>
      <w:r w:rsidRPr="00C33E16">
        <w:rPr>
          <w:sz w:val="26"/>
          <w:szCs w:val="26"/>
        </w:rPr>
        <w:t xml:space="preserve"> определяются руководителем с учетом мнения задействованных в документообороте  должностных лиц и утверждаются графиком документооборота</w:t>
      </w:r>
      <w:r w:rsidRPr="00C33E16">
        <w:rPr>
          <w:sz w:val="26"/>
          <w:szCs w:val="26"/>
          <w:lang w:val="ru-RU"/>
        </w:rPr>
        <w:t xml:space="preserve">. Предоставление документов после возврата на доработку не должно нарушать утвержденные сроки. </w:t>
      </w:r>
    </w:p>
    <w:p w:rsidR="009D0930" w:rsidRPr="009D0930" w:rsidRDefault="009D0930" w:rsidP="00C95303">
      <w:pPr>
        <w:pStyle w:val="a3"/>
        <w:spacing w:after="0"/>
        <w:ind w:firstLine="567"/>
        <w:jc w:val="both"/>
        <w:rPr>
          <w:sz w:val="26"/>
          <w:szCs w:val="26"/>
          <w:lang w:val="ru-RU"/>
        </w:rPr>
      </w:pPr>
      <w:r>
        <w:rPr>
          <w:sz w:val="26"/>
          <w:szCs w:val="26"/>
          <w:lang w:val="ru-RU"/>
        </w:rPr>
        <w:t>Ф</w:t>
      </w:r>
      <w:proofErr w:type="spellStart"/>
      <w:r w:rsidRPr="009D0930">
        <w:rPr>
          <w:sz w:val="26"/>
          <w:szCs w:val="26"/>
        </w:rPr>
        <w:t>ормировани</w:t>
      </w:r>
      <w:r>
        <w:rPr>
          <w:sz w:val="26"/>
          <w:szCs w:val="26"/>
          <w:lang w:val="ru-RU"/>
        </w:rPr>
        <w:t>е</w:t>
      </w:r>
      <w:proofErr w:type="spellEnd"/>
      <w:r w:rsidRPr="009D0930">
        <w:rPr>
          <w:sz w:val="26"/>
          <w:szCs w:val="26"/>
        </w:rPr>
        <w:t xml:space="preserve"> регистров бюджетного учета </w:t>
      </w:r>
      <w:r>
        <w:rPr>
          <w:sz w:val="26"/>
          <w:szCs w:val="26"/>
          <w:lang w:val="ru-RU"/>
        </w:rPr>
        <w:t xml:space="preserve">осуществляется </w:t>
      </w:r>
      <w:r w:rsidRPr="009D0930">
        <w:rPr>
          <w:sz w:val="26"/>
          <w:szCs w:val="26"/>
        </w:rPr>
        <w:t>на бумажных носителях</w:t>
      </w:r>
      <w:r>
        <w:rPr>
          <w:sz w:val="26"/>
          <w:szCs w:val="26"/>
          <w:lang w:val="ru-RU"/>
        </w:rPr>
        <w:t>.</w:t>
      </w:r>
    </w:p>
    <w:p w:rsidR="00F9596A" w:rsidRDefault="00F9596A" w:rsidP="00C95303">
      <w:pPr>
        <w:pStyle w:val="a3"/>
        <w:spacing w:after="0"/>
        <w:ind w:firstLine="567"/>
        <w:jc w:val="both"/>
        <w:rPr>
          <w:sz w:val="26"/>
          <w:szCs w:val="26"/>
          <w:lang w:val="ru-RU"/>
        </w:rPr>
      </w:pPr>
      <w:r w:rsidRPr="00C33E16">
        <w:rPr>
          <w:sz w:val="26"/>
          <w:szCs w:val="26"/>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соответствии с Положением об инвентаризации</w:t>
      </w:r>
      <w:r w:rsidRPr="00C33E16">
        <w:rPr>
          <w:sz w:val="26"/>
          <w:szCs w:val="26"/>
          <w:lang w:val="ru-RU"/>
        </w:rPr>
        <w:t>.</w:t>
      </w:r>
    </w:p>
    <w:p w:rsidR="00C262CF" w:rsidRDefault="00C262CF" w:rsidP="00C95303">
      <w:pPr>
        <w:pStyle w:val="a7"/>
        <w:spacing w:after="0" w:afterAutospacing="0"/>
        <w:jc w:val="both"/>
        <w:rPr>
          <w:b/>
          <w:sz w:val="26"/>
          <w:szCs w:val="26"/>
        </w:rPr>
      </w:pPr>
      <w:bookmarkStart w:id="0" w:name="_GoBack"/>
      <w:bookmarkEnd w:id="0"/>
      <w:r w:rsidRPr="00C33E16">
        <w:rPr>
          <w:b/>
          <w:sz w:val="26"/>
          <w:szCs w:val="26"/>
        </w:rPr>
        <w:t>Общие правила ведения бухгалтерского учета</w:t>
      </w:r>
      <w:r w:rsidR="00C33E16">
        <w:rPr>
          <w:b/>
          <w:sz w:val="26"/>
          <w:szCs w:val="26"/>
        </w:rPr>
        <w:t>.</w:t>
      </w:r>
    </w:p>
    <w:p w:rsidR="00C262CF" w:rsidRPr="00C33E16" w:rsidRDefault="00C262CF" w:rsidP="00814561">
      <w:pPr>
        <w:pStyle w:val="headertext"/>
        <w:spacing w:before="0" w:beforeAutospacing="0" w:after="0" w:afterAutospacing="0"/>
        <w:jc w:val="both"/>
        <w:rPr>
          <w:sz w:val="26"/>
          <w:szCs w:val="26"/>
        </w:rPr>
      </w:pPr>
      <w:bookmarkStart w:id="1" w:name="_Toc215299181"/>
      <w:bookmarkStart w:id="2" w:name="_Toc215299685"/>
      <w:bookmarkStart w:id="3" w:name="_Toc247972787"/>
      <w:bookmarkStart w:id="4" w:name="_Toc247982625"/>
      <w:bookmarkStart w:id="5" w:name="_Toc247988803"/>
      <w:bookmarkStart w:id="6" w:name="_Toc248650081"/>
      <w:r w:rsidRPr="00C33E16">
        <w:rPr>
          <w:sz w:val="26"/>
          <w:szCs w:val="26"/>
        </w:rPr>
        <w:t xml:space="preserve">         Для ведения бухгалтерского учета в учреждении применяются формы первичных </w:t>
      </w:r>
      <w:proofErr w:type="gramStart"/>
      <w:r w:rsidRPr="00C33E16">
        <w:rPr>
          <w:sz w:val="26"/>
          <w:szCs w:val="26"/>
        </w:rPr>
        <w:t>документов</w:t>
      </w:r>
      <w:proofErr w:type="gramEnd"/>
      <w:r w:rsidRPr="00C33E16">
        <w:rPr>
          <w:sz w:val="26"/>
          <w:szCs w:val="26"/>
        </w:rPr>
        <w:t xml:space="preserve"> </w:t>
      </w:r>
      <w:bookmarkEnd w:id="1"/>
      <w:bookmarkEnd w:id="2"/>
      <w:bookmarkEnd w:id="3"/>
      <w:bookmarkEnd w:id="4"/>
      <w:bookmarkEnd w:id="5"/>
      <w:bookmarkEnd w:id="6"/>
      <w:r w:rsidRPr="00C33E16">
        <w:rPr>
          <w:sz w:val="26"/>
          <w:szCs w:val="26"/>
        </w:rPr>
        <w:t>утвержденные приказом МФ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(кроме документов, указанных в п.2.1.1.). Все первичные документы должны иметь обязательные реквизиты в соответствии с требованиями федерального закона от 06.12.2011 № 402-ФЗ.</w:t>
      </w:r>
    </w:p>
    <w:p w:rsidR="0028398A" w:rsidRPr="00C33E16" w:rsidRDefault="0028398A" w:rsidP="00814561">
      <w:pPr>
        <w:pStyle w:val="a3"/>
        <w:spacing w:after="0"/>
        <w:jc w:val="both"/>
        <w:rPr>
          <w:sz w:val="26"/>
          <w:szCs w:val="26"/>
          <w:lang w:val="ru-RU"/>
        </w:rPr>
      </w:pPr>
      <w:bookmarkStart w:id="7" w:name="_Hlk512005557"/>
      <w:r w:rsidRPr="00C33E16">
        <w:rPr>
          <w:sz w:val="26"/>
          <w:szCs w:val="26"/>
          <w:lang w:val="ru-RU"/>
        </w:rPr>
        <w:t>Для отражения в учете фактов хозяйственной жизни, для которых специальные унифицированные формы не установлены</w:t>
      </w:r>
      <w:r w:rsidR="000E5D25" w:rsidRPr="00C33E16">
        <w:rPr>
          <w:sz w:val="26"/>
          <w:szCs w:val="26"/>
          <w:lang w:val="ru-RU"/>
        </w:rPr>
        <w:t>, применяются самостоятельно разработанные.</w:t>
      </w:r>
    </w:p>
    <w:p w:rsidR="00662371" w:rsidRPr="00C33E16" w:rsidRDefault="00662371" w:rsidP="00662371">
      <w:pPr>
        <w:pStyle w:val="a3"/>
        <w:spacing w:after="0"/>
        <w:ind w:firstLine="567"/>
        <w:jc w:val="both"/>
        <w:rPr>
          <w:sz w:val="26"/>
          <w:szCs w:val="26"/>
          <w:lang w:val="ru-RU"/>
        </w:rPr>
      </w:pPr>
      <w:r w:rsidRPr="00C33E16">
        <w:rPr>
          <w:sz w:val="26"/>
          <w:szCs w:val="26"/>
        </w:rPr>
        <w:t>Рабочий план счетов бюджетного (бухгалтерского) учета утверждается  на основании единого плана счетов с указанием всех используемых аналитических счетов</w:t>
      </w:r>
      <w:r w:rsidRPr="00C33E16">
        <w:rPr>
          <w:bCs/>
          <w:sz w:val="26"/>
          <w:szCs w:val="26"/>
          <w:lang w:val="ru-RU"/>
        </w:rPr>
        <w:t>. У</w:t>
      </w:r>
      <w:r w:rsidRPr="00C33E16">
        <w:rPr>
          <w:sz w:val="26"/>
          <w:szCs w:val="26"/>
        </w:rPr>
        <w:t xml:space="preserve">чет </w:t>
      </w:r>
      <w:r w:rsidRPr="00C33E16">
        <w:rPr>
          <w:sz w:val="26"/>
          <w:szCs w:val="26"/>
          <w:lang w:val="ru-RU"/>
        </w:rPr>
        <w:t xml:space="preserve">ведется раздельно </w:t>
      </w:r>
      <w:r w:rsidRPr="00C33E16">
        <w:rPr>
          <w:sz w:val="26"/>
          <w:szCs w:val="26"/>
        </w:rPr>
        <w:t>по кодам финансового обеспечения</w:t>
      </w:r>
      <w:r w:rsidRPr="00C33E16">
        <w:rPr>
          <w:sz w:val="26"/>
          <w:szCs w:val="26"/>
          <w:lang w:val="ru-RU"/>
        </w:rPr>
        <w:t>.</w:t>
      </w:r>
    </w:p>
    <w:p w:rsidR="00C33E16" w:rsidRPr="00C33E16" w:rsidRDefault="00C33E16" w:rsidP="00814561">
      <w:pPr>
        <w:pStyle w:val="a3"/>
        <w:spacing w:after="0"/>
        <w:jc w:val="both"/>
        <w:rPr>
          <w:sz w:val="26"/>
          <w:szCs w:val="26"/>
          <w:lang w:val="ru-RU"/>
        </w:rPr>
      </w:pPr>
    </w:p>
    <w:p w:rsidR="0028398A" w:rsidRDefault="0028398A" w:rsidP="00814561">
      <w:pPr>
        <w:pStyle w:val="2"/>
        <w:spacing w:before="0" w:after="0"/>
        <w:ind w:left="709"/>
        <w:jc w:val="both"/>
        <w:rPr>
          <w:rFonts w:ascii="Times New Roman" w:hAnsi="Times New Roman"/>
          <w:bCs/>
          <w:i w:val="0"/>
          <w:iCs/>
          <w:sz w:val="26"/>
          <w:szCs w:val="26"/>
        </w:rPr>
      </w:pPr>
      <w:bookmarkStart w:id="8" w:name="_Toc280732422"/>
      <w:bookmarkStart w:id="9" w:name="_Toc341717072"/>
      <w:bookmarkEnd w:id="7"/>
      <w:r w:rsidRPr="00C33E16">
        <w:rPr>
          <w:rFonts w:ascii="Times New Roman" w:hAnsi="Times New Roman"/>
          <w:i w:val="0"/>
          <w:sz w:val="26"/>
          <w:szCs w:val="26"/>
        </w:rPr>
        <w:t xml:space="preserve">Учет основных средств, нематериальных и </w:t>
      </w:r>
      <w:proofErr w:type="spellStart"/>
      <w:r w:rsidRPr="00C33E16">
        <w:rPr>
          <w:rFonts w:ascii="Times New Roman" w:hAnsi="Times New Roman"/>
          <w:i w:val="0"/>
          <w:sz w:val="26"/>
          <w:szCs w:val="26"/>
        </w:rPr>
        <w:t>непроизведенных</w:t>
      </w:r>
      <w:proofErr w:type="spellEnd"/>
      <w:r w:rsidRPr="00C33E16">
        <w:rPr>
          <w:rFonts w:ascii="Times New Roman" w:hAnsi="Times New Roman"/>
          <w:i w:val="0"/>
          <w:sz w:val="26"/>
          <w:szCs w:val="26"/>
        </w:rPr>
        <w:t xml:space="preserve"> активов</w:t>
      </w:r>
      <w:bookmarkEnd w:id="8"/>
      <w:bookmarkEnd w:id="9"/>
      <w:r w:rsidRPr="00C33E16">
        <w:rPr>
          <w:rFonts w:ascii="Times New Roman" w:hAnsi="Times New Roman"/>
          <w:i w:val="0"/>
          <w:sz w:val="26"/>
          <w:szCs w:val="26"/>
        </w:rPr>
        <w:t xml:space="preserve">. </w:t>
      </w:r>
      <w:r w:rsidRPr="00C33E16">
        <w:rPr>
          <w:rFonts w:ascii="Times New Roman" w:hAnsi="Times New Roman"/>
          <w:bCs/>
          <w:i w:val="0"/>
          <w:iCs/>
          <w:sz w:val="26"/>
          <w:szCs w:val="26"/>
        </w:rPr>
        <w:t>Обесценение активов.</w:t>
      </w:r>
    </w:p>
    <w:p w:rsidR="0028398A" w:rsidRPr="00C33E16" w:rsidRDefault="0028398A" w:rsidP="00814561">
      <w:pPr>
        <w:pStyle w:val="a3"/>
        <w:spacing w:after="0"/>
        <w:ind w:firstLine="567"/>
        <w:jc w:val="both"/>
        <w:rPr>
          <w:sz w:val="26"/>
          <w:szCs w:val="26"/>
          <w:lang w:val="ru-RU"/>
        </w:rPr>
      </w:pPr>
      <w:r w:rsidRPr="00C33E16">
        <w:rPr>
          <w:sz w:val="26"/>
          <w:szCs w:val="26"/>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r w:rsidRPr="00C33E16">
        <w:rPr>
          <w:sz w:val="26"/>
          <w:szCs w:val="26"/>
          <w:lang w:val="ru-RU"/>
        </w:rPr>
        <w:t>.</w:t>
      </w:r>
    </w:p>
    <w:p w:rsidR="0028398A" w:rsidRPr="00C33E16" w:rsidRDefault="0028398A" w:rsidP="00C95303">
      <w:pPr>
        <w:pStyle w:val="a3"/>
        <w:spacing w:after="0"/>
        <w:ind w:firstLine="567"/>
        <w:jc w:val="both"/>
        <w:rPr>
          <w:sz w:val="26"/>
          <w:szCs w:val="26"/>
          <w:lang w:val="ru-RU"/>
        </w:rPr>
      </w:pPr>
      <w:r w:rsidRPr="00C33E16">
        <w:rPr>
          <w:sz w:val="26"/>
          <w:szCs w:val="26"/>
          <w:lang w:val="ru-RU"/>
        </w:rPr>
        <w:lastRenderedPageBreak/>
        <w:t xml:space="preserve"> Необходимость объединения в один инвентарный объект и конкретный перечень объединяемых объектов определяет комиссия учреждения по поступлению и выбытию активов.</w:t>
      </w:r>
    </w:p>
    <w:p w:rsidR="0028398A" w:rsidRPr="00C33E16" w:rsidRDefault="0028398A" w:rsidP="00C95303">
      <w:pPr>
        <w:pStyle w:val="a3"/>
        <w:spacing w:after="0"/>
        <w:ind w:firstLine="567"/>
        <w:jc w:val="both"/>
        <w:rPr>
          <w:sz w:val="26"/>
          <w:szCs w:val="26"/>
          <w:lang w:val="ru-RU"/>
        </w:rPr>
      </w:pPr>
      <w:r w:rsidRPr="00C33E16">
        <w:rPr>
          <w:sz w:val="26"/>
          <w:szCs w:val="26"/>
        </w:rPr>
        <w:t>Аналитический учет основных средств ведется по отдельным инвентарным объектам в разрезе групп основных средств по материально-ответственным лицам</w:t>
      </w:r>
      <w:r w:rsidRPr="00C33E16">
        <w:rPr>
          <w:sz w:val="26"/>
          <w:szCs w:val="26"/>
          <w:lang w:val="ru-RU"/>
        </w:rPr>
        <w:t>.</w:t>
      </w:r>
    </w:p>
    <w:p w:rsidR="0028398A" w:rsidRPr="00C33E16" w:rsidRDefault="0028398A" w:rsidP="00C95303">
      <w:pPr>
        <w:pStyle w:val="a3"/>
        <w:spacing w:after="0"/>
        <w:jc w:val="both"/>
        <w:rPr>
          <w:sz w:val="26"/>
          <w:szCs w:val="26"/>
          <w:lang w:val="ru-RU"/>
        </w:rPr>
      </w:pPr>
      <w:r w:rsidRPr="00C33E16">
        <w:rPr>
          <w:sz w:val="26"/>
          <w:szCs w:val="26"/>
        </w:rPr>
        <w:t xml:space="preserve">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w:t>
      </w:r>
      <w:r w:rsidRPr="00C33E16">
        <w:rPr>
          <w:sz w:val="26"/>
          <w:szCs w:val="26"/>
          <w:lang w:val="ru-RU"/>
        </w:rPr>
        <w:t xml:space="preserve">метода рыночных цен.   </w:t>
      </w:r>
    </w:p>
    <w:p w:rsidR="0028398A" w:rsidRPr="00C33E16" w:rsidRDefault="0028398A" w:rsidP="00C95303">
      <w:pPr>
        <w:shd w:val="clear" w:color="auto" w:fill="FFFFFF"/>
        <w:spacing w:after="0" w:line="240" w:lineRule="auto"/>
        <w:ind w:firstLine="480"/>
        <w:jc w:val="both"/>
        <w:rPr>
          <w:rFonts w:ascii="Times New Roman" w:hAnsi="Times New Roman" w:cs="Times New Roman"/>
          <w:sz w:val="26"/>
          <w:szCs w:val="26"/>
        </w:rPr>
      </w:pPr>
      <w:r w:rsidRPr="00C33E16">
        <w:rPr>
          <w:rFonts w:ascii="Times New Roman" w:hAnsi="Times New Roman" w:cs="Times New Roman"/>
          <w:sz w:val="26"/>
          <w:szCs w:val="26"/>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w:t>
      </w:r>
      <w:proofErr w:type="gramStart"/>
      <w:r w:rsidRPr="00C33E16">
        <w:rPr>
          <w:rFonts w:ascii="Times New Roman" w:hAnsi="Times New Roman" w:cs="Times New Roman"/>
          <w:sz w:val="26"/>
          <w:szCs w:val="26"/>
        </w:rPr>
        <w:t> .</w:t>
      </w:r>
      <w:proofErr w:type="gramEnd"/>
    </w:p>
    <w:p w:rsidR="0028398A" w:rsidRPr="00C33E16" w:rsidRDefault="0028398A" w:rsidP="00C95303">
      <w:pPr>
        <w:shd w:val="clear" w:color="auto" w:fill="FFFFFF"/>
        <w:spacing w:after="0" w:line="240" w:lineRule="auto"/>
        <w:ind w:firstLine="480"/>
        <w:jc w:val="both"/>
        <w:rPr>
          <w:rFonts w:ascii="Times New Roman" w:hAnsi="Times New Roman" w:cs="Times New Roman"/>
          <w:sz w:val="26"/>
          <w:szCs w:val="26"/>
        </w:rPr>
      </w:pPr>
      <w:r w:rsidRPr="00C33E16">
        <w:rPr>
          <w:rFonts w:ascii="Times New Roman" w:hAnsi="Times New Roman" w:cs="Times New Roman"/>
          <w:sz w:val="26"/>
          <w:szCs w:val="26"/>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28398A" w:rsidRPr="00C33E16" w:rsidRDefault="0028398A" w:rsidP="00C95303">
      <w:pPr>
        <w:pStyle w:val="a3"/>
        <w:spacing w:after="0"/>
        <w:ind w:firstLine="567"/>
        <w:jc w:val="both"/>
        <w:rPr>
          <w:sz w:val="26"/>
          <w:szCs w:val="26"/>
          <w:lang w:val="ru-RU"/>
        </w:rPr>
      </w:pPr>
      <w:r w:rsidRPr="00C33E16">
        <w:rPr>
          <w:sz w:val="26"/>
          <w:szCs w:val="26"/>
        </w:rPr>
        <w:t xml:space="preserve">По основным средствам стоимостью свыше </w:t>
      </w:r>
      <w:r w:rsidRPr="00C33E16">
        <w:rPr>
          <w:sz w:val="26"/>
          <w:szCs w:val="26"/>
          <w:lang w:val="ru-RU"/>
        </w:rPr>
        <w:t>10</w:t>
      </w:r>
      <w:r w:rsidRPr="00C33E16">
        <w:rPr>
          <w:sz w:val="26"/>
          <w:szCs w:val="26"/>
        </w:rPr>
        <w:t>0 000</w:t>
      </w:r>
      <w:r w:rsidRPr="00C33E16">
        <w:rPr>
          <w:sz w:val="26"/>
          <w:szCs w:val="26"/>
          <w:lang w:val="ru-RU"/>
        </w:rPr>
        <w:t>,00 (ста тысяч)</w:t>
      </w:r>
      <w:r w:rsidRPr="00C33E16">
        <w:rPr>
          <w:sz w:val="26"/>
          <w:szCs w:val="26"/>
        </w:rPr>
        <w:t xml:space="preserve"> руб</w:t>
      </w:r>
      <w:r w:rsidRPr="00C33E16">
        <w:rPr>
          <w:sz w:val="26"/>
          <w:szCs w:val="26"/>
          <w:lang w:val="ru-RU"/>
        </w:rPr>
        <w:t>лей</w:t>
      </w:r>
      <w:r w:rsidRPr="00C33E16">
        <w:rPr>
          <w:sz w:val="26"/>
          <w:szCs w:val="26"/>
        </w:rPr>
        <w:t xml:space="preserve">  применяется линейный способ начисления амортизации. </w:t>
      </w:r>
    </w:p>
    <w:p w:rsidR="00D37F03" w:rsidRDefault="00D37F03" w:rsidP="00C95303">
      <w:pPr>
        <w:pStyle w:val="2"/>
        <w:spacing w:after="0"/>
        <w:ind w:left="709"/>
        <w:jc w:val="both"/>
        <w:rPr>
          <w:rFonts w:ascii="Times New Roman" w:hAnsi="Times New Roman"/>
          <w:i w:val="0"/>
          <w:sz w:val="26"/>
          <w:szCs w:val="26"/>
        </w:rPr>
      </w:pPr>
      <w:r w:rsidRPr="00C33E16">
        <w:rPr>
          <w:rFonts w:ascii="Times New Roman" w:hAnsi="Times New Roman"/>
          <w:i w:val="0"/>
          <w:sz w:val="26"/>
          <w:szCs w:val="26"/>
        </w:rPr>
        <w:t>Учет материальных запасов</w:t>
      </w:r>
    </w:p>
    <w:p w:rsidR="00D37F03" w:rsidRPr="00C33E16" w:rsidRDefault="00D37F03" w:rsidP="00814561">
      <w:pPr>
        <w:pStyle w:val="a3"/>
        <w:spacing w:after="0"/>
        <w:ind w:firstLine="567"/>
        <w:jc w:val="both"/>
        <w:rPr>
          <w:sz w:val="26"/>
          <w:szCs w:val="26"/>
        </w:rPr>
      </w:pPr>
      <w:r w:rsidRPr="00C33E16">
        <w:rPr>
          <w:sz w:val="26"/>
          <w:szCs w:val="26"/>
        </w:rPr>
        <w:t>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w:t>
      </w:r>
    </w:p>
    <w:p w:rsidR="00D37F03" w:rsidRPr="00C33E16" w:rsidRDefault="00D37F03" w:rsidP="00DA4A29">
      <w:pPr>
        <w:spacing w:after="0" w:line="240" w:lineRule="auto"/>
        <w:jc w:val="both"/>
        <w:rPr>
          <w:rFonts w:ascii="Times New Roman" w:hAnsi="Times New Roman" w:cs="Times New Roman"/>
          <w:sz w:val="26"/>
          <w:szCs w:val="26"/>
        </w:rPr>
      </w:pPr>
      <w:proofErr w:type="gramStart"/>
      <w:r w:rsidRPr="00C33E16">
        <w:rPr>
          <w:rFonts w:ascii="Times New Roman" w:hAnsi="Times New Roman" w:cs="Times New Roman"/>
          <w:sz w:val="26"/>
          <w:szCs w:val="26"/>
        </w:rPr>
        <w:t>- медикаменты, лекарственные средства, перевязочные средства, расходный медицинский материал, медицинские измерительные приборы; канцелярия; материалы, хозяйственный инвентарь  для хозяйственной деятельности и  для целей управления в  том числе: инвентарь для уборки помещений (территорий), рабочих мест, принадлежности для ремонта помещений (дрели, молотки, гаечные ключи и т.п.); продукты; мягкий инвентарь; горюче-смазочные материалы;</w:t>
      </w:r>
      <w:proofErr w:type="gramEnd"/>
      <w:r w:rsidRPr="00C33E16">
        <w:rPr>
          <w:rFonts w:ascii="Times New Roman" w:hAnsi="Times New Roman" w:cs="Times New Roman"/>
          <w:sz w:val="26"/>
          <w:szCs w:val="26"/>
        </w:rPr>
        <w:t xml:space="preserve"> строительные </w:t>
      </w:r>
      <w:proofErr w:type="spellStart"/>
      <w:r w:rsidRPr="00C33E16">
        <w:rPr>
          <w:rFonts w:ascii="Times New Roman" w:hAnsi="Times New Roman" w:cs="Times New Roman"/>
          <w:sz w:val="26"/>
          <w:szCs w:val="26"/>
        </w:rPr>
        <w:t>материалы</w:t>
      </w:r>
      <w:proofErr w:type="gramStart"/>
      <w:r w:rsidRPr="00C33E16">
        <w:rPr>
          <w:rFonts w:ascii="Times New Roman" w:hAnsi="Times New Roman" w:cs="Times New Roman"/>
          <w:sz w:val="26"/>
          <w:szCs w:val="26"/>
        </w:rPr>
        <w:t>;п</w:t>
      </w:r>
      <w:proofErr w:type="gramEnd"/>
      <w:r w:rsidRPr="00C33E16">
        <w:rPr>
          <w:rFonts w:ascii="Times New Roman" w:hAnsi="Times New Roman" w:cs="Times New Roman"/>
          <w:sz w:val="26"/>
          <w:szCs w:val="26"/>
        </w:rPr>
        <w:t>рочие</w:t>
      </w:r>
      <w:proofErr w:type="spellEnd"/>
      <w:r w:rsidRPr="00C33E16">
        <w:rPr>
          <w:rFonts w:ascii="Times New Roman" w:hAnsi="Times New Roman" w:cs="Times New Roman"/>
          <w:sz w:val="26"/>
          <w:szCs w:val="26"/>
        </w:rPr>
        <w:t xml:space="preserve"> материальные запасы, в т.ч.: калькуляторы (если в инструкции не указан срок использования), игрушки и методические пособия, развивающие игры, лабораторные работы (пособия), дидактические игры и пособия, используемые как расходный материал в процессе образовательной деятельности учреждения; посуда  и т.д.</w:t>
      </w:r>
    </w:p>
    <w:p w:rsidR="00DF48EC" w:rsidRPr="00C33E16" w:rsidRDefault="00DF48EC" w:rsidP="00DA4A29">
      <w:pPr>
        <w:pStyle w:val="a3"/>
        <w:spacing w:after="0"/>
        <w:ind w:firstLine="567"/>
        <w:jc w:val="both"/>
        <w:rPr>
          <w:sz w:val="26"/>
          <w:szCs w:val="26"/>
          <w:lang w:val="ru-RU"/>
        </w:rPr>
      </w:pPr>
      <w:r w:rsidRPr="00C33E16">
        <w:rPr>
          <w:sz w:val="26"/>
          <w:szCs w:val="26"/>
        </w:rPr>
        <w:t>Аналитический учет материальных ценностей  ведется по:</w:t>
      </w:r>
    </w:p>
    <w:p w:rsidR="00DA4A29" w:rsidRPr="00C33E16" w:rsidRDefault="00DF48EC" w:rsidP="00DA4A29">
      <w:pPr>
        <w:shd w:val="clear" w:color="auto" w:fill="FFFFFF"/>
        <w:spacing w:after="0"/>
        <w:ind w:firstLine="480"/>
        <w:jc w:val="both"/>
        <w:rPr>
          <w:rFonts w:ascii="Times New Roman" w:hAnsi="Times New Roman" w:cs="Times New Roman"/>
          <w:sz w:val="26"/>
          <w:szCs w:val="26"/>
        </w:rPr>
      </w:pPr>
      <w:r w:rsidRPr="00C33E16">
        <w:rPr>
          <w:rFonts w:ascii="Times New Roman" w:hAnsi="Times New Roman" w:cs="Times New Roman"/>
          <w:sz w:val="26"/>
          <w:szCs w:val="26"/>
        </w:rPr>
        <w:t>- видам запасов; наименованиям; источникам финансирования; материально-ответственным лицам.</w:t>
      </w:r>
    </w:p>
    <w:p w:rsidR="00DA4A29" w:rsidRDefault="00DA4A29" w:rsidP="00DA4A29">
      <w:pPr>
        <w:shd w:val="clear" w:color="auto" w:fill="FFFFFF"/>
        <w:spacing w:after="0"/>
        <w:ind w:firstLine="480"/>
        <w:jc w:val="both"/>
        <w:rPr>
          <w:rFonts w:ascii="Times New Roman" w:hAnsi="Times New Roman" w:cs="Times New Roman"/>
          <w:sz w:val="26"/>
          <w:szCs w:val="26"/>
        </w:rPr>
      </w:pPr>
      <w:r w:rsidRPr="00C33E16">
        <w:rPr>
          <w:rFonts w:ascii="Times New Roman" w:hAnsi="Times New Roman" w:cs="Times New Roman"/>
          <w:sz w:val="26"/>
          <w:szCs w:val="26"/>
        </w:rPr>
        <w:t xml:space="preserve">Сумма </w:t>
      </w:r>
      <w:proofErr w:type="spellStart"/>
      <w:r w:rsidRPr="00C33E16">
        <w:rPr>
          <w:rFonts w:ascii="Times New Roman" w:hAnsi="Times New Roman" w:cs="Times New Roman"/>
          <w:sz w:val="26"/>
          <w:szCs w:val="26"/>
        </w:rPr>
        <w:t>ущербаот</w:t>
      </w:r>
      <w:proofErr w:type="spellEnd"/>
      <w:r w:rsidRPr="00C33E16">
        <w:rPr>
          <w:rFonts w:ascii="Times New Roman" w:hAnsi="Times New Roman" w:cs="Times New Roman"/>
          <w:sz w:val="26"/>
          <w:szCs w:val="26"/>
        </w:rPr>
        <w:t xml:space="preserve">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p>
    <w:p w:rsidR="00DF48EC" w:rsidRPr="00C33E16" w:rsidRDefault="00DF48EC" w:rsidP="00DF48EC">
      <w:pPr>
        <w:pStyle w:val="a3"/>
        <w:spacing w:after="0"/>
        <w:jc w:val="both"/>
        <w:rPr>
          <w:sz w:val="26"/>
          <w:szCs w:val="26"/>
          <w:lang w:val="ru-RU"/>
        </w:rPr>
      </w:pPr>
    </w:p>
    <w:p w:rsidR="001B7A75" w:rsidRPr="00C33E16" w:rsidRDefault="001B7A75" w:rsidP="00814561">
      <w:pPr>
        <w:pStyle w:val="a3"/>
        <w:jc w:val="center"/>
        <w:rPr>
          <w:b/>
          <w:bCs/>
          <w:iCs/>
          <w:sz w:val="26"/>
          <w:szCs w:val="26"/>
        </w:rPr>
      </w:pPr>
      <w:bookmarkStart w:id="10" w:name="_Toc280732424"/>
      <w:bookmarkStart w:id="11" w:name="_Toc341717074"/>
      <w:r w:rsidRPr="00C33E16">
        <w:rPr>
          <w:b/>
          <w:bCs/>
          <w:iCs/>
          <w:sz w:val="26"/>
          <w:szCs w:val="26"/>
        </w:rPr>
        <w:t>Учет денежных средств и денежных документов</w:t>
      </w:r>
      <w:bookmarkEnd w:id="10"/>
      <w:bookmarkEnd w:id="11"/>
    </w:p>
    <w:p w:rsidR="001B7A75" w:rsidRPr="00C33E16" w:rsidRDefault="001B7A75" w:rsidP="00E8118A">
      <w:pPr>
        <w:pStyle w:val="a3"/>
        <w:spacing w:after="0"/>
        <w:ind w:firstLine="567"/>
        <w:jc w:val="both"/>
        <w:rPr>
          <w:sz w:val="26"/>
          <w:szCs w:val="26"/>
          <w:lang w:val="ru-RU"/>
        </w:rPr>
      </w:pPr>
      <w:r w:rsidRPr="00C33E16">
        <w:rPr>
          <w:sz w:val="26"/>
          <w:szCs w:val="26"/>
        </w:rPr>
        <w:t>Учет денежных средств в учреждении осуществляется</w:t>
      </w:r>
      <w:r w:rsidR="000028D7" w:rsidRPr="00C33E16">
        <w:rPr>
          <w:sz w:val="26"/>
          <w:szCs w:val="26"/>
          <w:lang w:val="ru-RU"/>
        </w:rPr>
        <w:t xml:space="preserve"> в</w:t>
      </w:r>
      <w:r w:rsidRPr="00C33E16">
        <w:rPr>
          <w:sz w:val="26"/>
          <w:szCs w:val="26"/>
        </w:rPr>
        <w:t xml:space="preserve"> соответствии с требованиями, установленными Порядком ведения кассовых операций в РФ</w:t>
      </w:r>
      <w:r w:rsidR="004F6AA8" w:rsidRPr="00C33E16">
        <w:rPr>
          <w:sz w:val="26"/>
          <w:szCs w:val="26"/>
          <w:lang w:val="ru-RU"/>
        </w:rPr>
        <w:t>.</w:t>
      </w:r>
    </w:p>
    <w:p w:rsidR="001B7A75" w:rsidRDefault="001B7A75" w:rsidP="00814561">
      <w:pPr>
        <w:pStyle w:val="2"/>
        <w:jc w:val="center"/>
        <w:rPr>
          <w:rFonts w:ascii="Times New Roman" w:hAnsi="Times New Roman"/>
          <w:i w:val="0"/>
          <w:sz w:val="26"/>
          <w:szCs w:val="26"/>
        </w:rPr>
      </w:pPr>
      <w:bookmarkStart w:id="12" w:name="_Toc280732425"/>
      <w:bookmarkStart w:id="13" w:name="_Toc341717075"/>
      <w:r w:rsidRPr="00C33E16">
        <w:rPr>
          <w:rFonts w:ascii="Times New Roman" w:hAnsi="Times New Roman"/>
          <w:i w:val="0"/>
          <w:sz w:val="26"/>
          <w:szCs w:val="26"/>
        </w:rPr>
        <w:t>Учет расчетов, дебиторской и кредиторской задолженности</w:t>
      </w:r>
      <w:bookmarkEnd w:id="12"/>
      <w:bookmarkEnd w:id="13"/>
    </w:p>
    <w:p w:rsidR="00C33E16" w:rsidRDefault="00C33E16" w:rsidP="000028D7">
      <w:pPr>
        <w:spacing w:after="0"/>
        <w:jc w:val="both"/>
        <w:rPr>
          <w:rFonts w:ascii="Times New Roman" w:hAnsi="Times New Roman" w:cs="Times New Roman"/>
          <w:sz w:val="26"/>
          <w:szCs w:val="26"/>
        </w:rPr>
      </w:pPr>
      <w:r>
        <w:rPr>
          <w:sz w:val="26"/>
          <w:szCs w:val="26"/>
        </w:rPr>
        <w:tab/>
      </w:r>
      <w:r w:rsidR="00D85ECA" w:rsidRPr="00C33E16">
        <w:rPr>
          <w:rFonts w:ascii="Times New Roman" w:hAnsi="Times New Roman" w:cs="Times New Roman"/>
          <w:sz w:val="26"/>
          <w:szCs w:val="26"/>
        </w:rPr>
        <w:t xml:space="preserve">Дебиторская задолженность, срок исковой давности которой истек, списывается по результатам инвентаризации. </w:t>
      </w:r>
    </w:p>
    <w:p w:rsidR="000028D7" w:rsidRPr="00C33E16" w:rsidRDefault="00C33E16" w:rsidP="000028D7">
      <w:pPr>
        <w:spacing w:after="0"/>
        <w:jc w:val="both"/>
        <w:rPr>
          <w:rFonts w:ascii="Times New Roman" w:hAnsi="Times New Roman" w:cs="Times New Roman"/>
          <w:sz w:val="26"/>
          <w:szCs w:val="26"/>
          <w:lang/>
        </w:rPr>
      </w:pPr>
      <w:r>
        <w:rPr>
          <w:rFonts w:ascii="Times New Roman" w:hAnsi="Times New Roman" w:cs="Times New Roman"/>
          <w:sz w:val="26"/>
          <w:szCs w:val="26"/>
          <w:lang/>
        </w:rPr>
        <w:lastRenderedPageBreak/>
        <w:tab/>
      </w:r>
      <w:r w:rsidR="000028D7" w:rsidRPr="00C33E16">
        <w:rPr>
          <w:rFonts w:ascii="Times New Roman" w:hAnsi="Times New Roman" w:cs="Times New Roman"/>
          <w:sz w:val="26"/>
          <w:szCs w:val="26"/>
          <w:lang/>
        </w:rPr>
        <w:t xml:space="preserve">Учет списанной задолженности осуществляется на </w:t>
      </w:r>
      <w:proofErr w:type="spellStart"/>
      <w:r w:rsidR="000028D7" w:rsidRPr="00C33E16">
        <w:rPr>
          <w:rFonts w:ascii="Times New Roman" w:hAnsi="Times New Roman" w:cs="Times New Roman"/>
          <w:sz w:val="26"/>
          <w:szCs w:val="26"/>
          <w:lang/>
        </w:rPr>
        <w:t>забалансовом</w:t>
      </w:r>
      <w:proofErr w:type="spellEnd"/>
      <w:r w:rsidR="000028D7" w:rsidRPr="00C33E16">
        <w:rPr>
          <w:rFonts w:ascii="Times New Roman" w:hAnsi="Times New Roman" w:cs="Times New Roman"/>
          <w:sz w:val="26"/>
          <w:szCs w:val="26"/>
          <w:lang/>
        </w:rPr>
        <w:t xml:space="preserve"> счете в течение пяти лет для наблюдения за возможностью ее взыскания в случае изменения имущественного положения должника.</w:t>
      </w:r>
    </w:p>
    <w:p w:rsidR="00D85ECA" w:rsidRPr="00C33E16" w:rsidRDefault="00D85ECA" w:rsidP="000028D7">
      <w:pPr>
        <w:spacing w:after="0" w:line="240" w:lineRule="auto"/>
        <w:jc w:val="both"/>
        <w:rPr>
          <w:rFonts w:ascii="Times New Roman" w:hAnsi="Times New Roman" w:cs="Times New Roman"/>
          <w:sz w:val="26"/>
          <w:szCs w:val="26"/>
        </w:rPr>
      </w:pPr>
      <w:r w:rsidRPr="00C33E16">
        <w:rPr>
          <w:rFonts w:ascii="Times New Roman" w:hAnsi="Times New Roman" w:cs="Times New Roman"/>
          <w:sz w:val="26"/>
          <w:szCs w:val="26"/>
        </w:rPr>
        <w:t xml:space="preserve">             Кредиторская задолженность, срок исковой давности которой истек, списывается с баланса по  результатам инвентаризации. </w:t>
      </w:r>
    </w:p>
    <w:p w:rsidR="000028D7" w:rsidRPr="00C33E16" w:rsidRDefault="000028D7" w:rsidP="00C33E16">
      <w:pPr>
        <w:pStyle w:val="a3"/>
        <w:spacing w:after="0"/>
        <w:ind w:firstLine="567"/>
        <w:jc w:val="both"/>
        <w:rPr>
          <w:sz w:val="26"/>
          <w:szCs w:val="26"/>
        </w:rPr>
      </w:pPr>
      <w:r w:rsidRPr="00C33E16">
        <w:rPr>
          <w:sz w:val="26"/>
          <w:szCs w:val="26"/>
        </w:rPr>
        <w:t xml:space="preserve">Учет списанной кредиторской задолженности ведется на </w:t>
      </w:r>
      <w:proofErr w:type="spellStart"/>
      <w:r w:rsidRPr="00C33E16">
        <w:rPr>
          <w:sz w:val="26"/>
          <w:szCs w:val="26"/>
        </w:rPr>
        <w:t>забалансовом</w:t>
      </w:r>
      <w:proofErr w:type="spellEnd"/>
      <w:r w:rsidRPr="00C33E16">
        <w:rPr>
          <w:sz w:val="26"/>
          <w:szCs w:val="26"/>
        </w:rPr>
        <w:t xml:space="preserve"> счете в течение срока исковой давности с момента списания задолженности с балансового учета (3 года).</w:t>
      </w:r>
    </w:p>
    <w:p w:rsidR="00D85ECA" w:rsidRDefault="00C56BA5" w:rsidP="00C56BA5">
      <w:pPr>
        <w:spacing w:after="0"/>
        <w:jc w:val="both"/>
        <w:rPr>
          <w:rFonts w:ascii="Times New Roman" w:hAnsi="Times New Roman" w:cs="Times New Roman"/>
          <w:b/>
          <w:bCs/>
          <w:iCs/>
          <w:kern w:val="32"/>
          <w:sz w:val="26"/>
          <w:szCs w:val="26"/>
        </w:rPr>
      </w:pPr>
      <w:r w:rsidRPr="00C33E16">
        <w:rPr>
          <w:rFonts w:ascii="Times New Roman" w:eastAsia="Times New Roman" w:hAnsi="Times New Roman"/>
          <w:color w:val="000000"/>
          <w:sz w:val="26"/>
          <w:szCs w:val="26"/>
        </w:rPr>
        <w:tab/>
      </w:r>
      <w:r w:rsidRPr="00C33E16">
        <w:rPr>
          <w:rFonts w:ascii="Times New Roman" w:eastAsia="Times New Roman" w:hAnsi="Times New Roman"/>
          <w:color w:val="000000"/>
          <w:sz w:val="26"/>
          <w:szCs w:val="26"/>
        </w:rPr>
        <w:tab/>
      </w:r>
      <w:r w:rsidR="00D85ECA" w:rsidRPr="00C33E16">
        <w:rPr>
          <w:rFonts w:ascii="Times New Roman" w:hAnsi="Times New Roman" w:cs="Times New Roman"/>
          <w:b/>
          <w:bCs/>
          <w:iCs/>
          <w:kern w:val="32"/>
          <w:sz w:val="26"/>
          <w:szCs w:val="26"/>
        </w:rPr>
        <w:t>Учет санкционирования</w:t>
      </w:r>
    </w:p>
    <w:p w:rsidR="00C33E16" w:rsidRPr="00C33E16" w:rsidRDefault="00C33E16" w:rsidP="00C56BA5">
      <w:pPr>
        <w:spacing w:after="0"/>
        <w:jc w:val="both"/>
        <w:rPr>
          <w:rFonts w:ascii="Times New Roman" w:hAnsi="Times New Roman" w:cs="Times New Roman"/>
          <w:b/>
          <w:bCs/>
          <w:iCs/>
          <w:kern w:val="32"/>
          <w:sz w:val="26"/>
          <w:szCs w:val="26"/>
        </w:rPr>
      </w:pPr>
    </w:p>
    <w:p w:rsidR="00D85ECA" w:rsidRPr="00C33E16" w:rsidRDefault="00D85ECA" w:rsidP="00FD6E6D">
      <w:pPr>
        <w:pStyle w:val="hp"/>
        <w:spacing w:before="0" w:beforeAutospacing="0" w:after="0" w:afterAutospacing="0"/>
        <w:ind w:firstLine="567"/>
        <w:jc w:val="both"/>
        <w:rPr>
          <w:sz w:val="26"/>
          <w:szCs w:val="26"/>
        </w:rPr>
      </w:pPr>
      <w:bookmarkStart w:id="14" w:name="_Hlk14258866"/>
      <w:r w:rsidRPr="00C33E16">
        <w:rPr>
          <w:sz w:val="26"/>
          <w:szCs w:val="26"/>
        </w:rPr>
        <w:t>Принятие бюджетных обязательств обеспечива</w:t>
      </w:r>
      <w:r w:rsidR="00C33E16">
        <w:rPr>
          <w:sz w:val="26"/>
          <w:szCs w:val="26"/>
        </w:rPr>
        <w:t>е</w:t>
      </w:r>
      <w:r w:rsidRPr="00C33E16">
        <w:rPr>
          <w:sz w:val="26"/>
          <w:szCs w:val="26"/>
        </w:rPr>
        <w:t>тся лимитами бюджетных обязательств, и поступившими в бюджет  средствами от платной и иной приносящей доход деятельности, пожертвованиями, прочими неналоговыми поступлениями и</w:t>
      </w:r>
      <w:r w:rsidR="009D0930">
        <w:rPr>
          <w:sz w:val="26"/>
          <w:szCs w:val="26"/>
        </w:rPr>
        <w:t xml:space="preserve"> должно</w:t>
      </w:r>
      <w:r w:rsidRPr="00C33E16">
        <w:rPr>
          <w:sz w:val="26"/>
          <w:szCs w:val="26"/>
        </w:rPr>
        <w:t xml:space="preserve"> соответствовать тем </w:t>
      </w:r>
      <w:r w:rsidR="009D0930">
        <w:rPr>
          <w:sz w:val="26"/>
          <w:szCs w:val="26"/>
        </w:rPr>
        <w:t>видам расходов</w:t>
      </w:r>
      <w:r w:rsidRPr="00C33E16">
        <w:rPr>
          <w:sz w:val="26"/>
          <w:szCs w:val="26"/>
        </w:rPr>
        <w:t>, которые утверждены бюджетной  сметой.</w:t>
      </w:r>
    </w:p>
    <w:bookmarkEnd w:id="14"/>
    <w:p w:rsidR="009F7E9A" w:rsidRPr="00C33E16" w:rsidRDefault="009F7E9A" w:rsidP="009F7E9A">
      <w:pPr>
        <w:spacing w:after="0"/>
        <w:ind w:firstLine="567"/>
        <w:jc w:val="both"/>
        <w:rPr>
          <w:rFonts w:ascii="Times New Roman" w:hAnsi="Times New Roman" w:cs="Times New Roman"/>
          <w:sz w:val="26"/>
          <w:szCs w:val="26"/>
        </w:rPr>
      </w:pPr>
      <w:r w:rsidRPr="00C33E16">
        <w:rPr>
          <w:rFonts w:ascii="Times New Roman" w:hAnsi="Times New Roman" w:cs="Times New Roman"/>
          <w:sz w:val="26"/>
          <w:szCs w:val="26"/>
        </w:rPr>
        <w:t xml:space="preserve">Счета </w:t>
      </w:r>
      <w:r w:rsidR="00C33E16">
        <w:rPr>
          <w:rFonts w:ascii="Times New Roman" w:hAnsi="Times New Roman" w:cs="Times New Roman"/>
          <w:sz w:val="26"/>
          <w:szCs w:val="26"/>
        </w:rPr>
        <w:t>санкционирования</w:t>
      </w:r>
      <w:r w:rsidRPr="00C33E16">
        <w:rPr>
          <w:rFonts w:ascii="Times New Roman" w:hAnsi="Times New Roman" w:cs="Times New Roman"/>
          <w:sz w:val="26"/>
          <w:szCs w:val="26"/>
        </w:rPr>
        <w:t xml:space="preserve"> предназначены для учета всех видов финансового обеспечения на текущий, очередной и второй год, следующий за </w:t>
      </w:r>
      <w:proofErr w:type="gramStart"/>
      <w:r w:rsidRPr="00C33E16">
        <w:rPr>
          <w:rFonts w:ascii="Times New Roman" w:hAnsi="Times New Roman" w:cs="Times New Roman"/>
          <w:sz w:val="26"/>
          <w:szCs w:val="26"/>
        </w:rPr>
        <w:t>очередным</w:t>
      </w:r>
      <w:proofErr w:type="gramEnd"/>
      <w:r w:rsidRPr="00C33E16">
        <w:rPr>
          <w:rFonts w:ascii="Times New Roman" w:hAnsi="Times New Roman" w:cs="Times New Roman"/>
          <w:sz w:val="26"/>
          <w:szCs w:val="26"/>
        </w:rPr>
        <w:t xml:space="preserve">  и т.д. </w:t>
      </w:r>
    </w:p>
    <w:p w:rsidR="00C33E16" w:rsidRPr="00C33E16" w:rsidRDefault="00D85ECA" w:rsidP="009F7E9A">
      <w:pPr>
        <w:pStyle w:val="a7"/>
        <w:shd w:val="clear" w:color="auto" w:fill="FFFFFF"/>
        <w:spacing w:before="0" w:beforeAutospacing="0" w:after="0" w:afterAutospacing="0"/>
        <w:ind w:firstLine="480"/>
        <w:jc w:val="both"/>
        <w:rPr>
          <w:sz w:val="26"/>
          <w:szCs w:val="26"/>
        </w:rPr>
      </w:pPr>
      <w:r w:rsidRPr="00C33E16">
        <w:rPr>
          <w:sz w:val="26"/>
          <w:szCs w:val="26"/>
        </w:rPr>
        <w:t xml:space="preserve">Учет принимаемых обязательств осуществляется на основании извещения о проведении </w:t>
      </w:r>
      <w:r w:rsidR="00C33E16">
        <w:rPr>
          <w:sz w:val="26"/>
          <w:szCs w:val="26"/>
        </w:rPr>
        <w:t>закупок.</w:t>
      </w:r>
    </w:p>
    <w:p w:rsidR="00D85ECA" w:rsidRPr="00C33E16" w:rsidRDefault="00D85ECA" w:rsidP="00814561">
      <w:pPr>
        <w:spacing w:line="240" w:lineRule="auto"/>
        <w:ind w:left="720"/>
        <w:jc w:val="center"/>
        <w:rPr>
          <w:rFonts w:ascii="Times New Roman" w:hAnsi="Times New Roman" w:cs="Times New Roman"/>
          <w:b/>
          <w:bCs/>
          <w:iCs/>
          <w:sz w:val="26"/>
          <w:szCs w:val="26"/>
        </w:rPr>
      </w:pPr>
      <w:r w:rsidRPr="00C33E16">
        <w:rPr>
          <w:rFonts w:ascii="Times New Roman" w:hAnsi="Times New Roman" w:cs="Times New Roman"/>
          <w:b/>
          <w:bCs/>
          <w:iCs/>
          <w:sz w:val="26"/>
          <w:szCs w:val="26"/>
        </w:rPr>
        <w:t>Учет финансового результата</w:t>
      </w:r>
    </w:p>
    <w:p w:rsidR="0051359F" w:rsidRPr="0051359F" w:rsidRDefault="004F6AA8" w:rsidP="009D0930">
      <w:pPr>
        <w:spacing w:before="240" w:after="0" w:line="240" w:lineRule="auto"/>
        <w:jc w:val="both"/>
        <w:rPr>
          <w:rFonts w:ascii="Times New Roman" w:hAnsi="Times New Roman" w:cs="Times New Roman"/>
          <w:sz w:val="26"/>
          <w:szCs w:val="26"/>
        </w:rPr>
      </w:pPr>
      <w:r w:rsidRPr="00C33E16">
        <w:rPr>
          <w:rFonts w:ascii="Times New Roman" w:hAnsi="Times New Roman" w:cs="Times New Roman"/>
          <w:sz w:val="26"/>
          <w:szCs w:val="26"/>
        </w:rPr>
        <w:tab/>
      </w:r>
      <w:r w:rsidR="00E665B8">
        <w:rPr>
          <w:rFonts w:ascii="Times New Roman" w:hAnsi="Times New Roman" w:cs="Times New Roman"/>
          <w:sz w:val="26"/>
          <w:szCs w:val="26"/>
        </w:rPr>
        <w:t>С</w:t>
      </w:r>
      <w:r w:rsidR="000028D7" w:rsidRPr="00C33E16">
        <w:rPr>
          <w:rFonts w:ascii="Times New Roman" w:hAnsi="Times New Roman" w:cs="Times New Roman"/>
          <w:sz w:val="26"/>
          <w:szCs w:val="26"/>
        </w:rPr>
        <w:t xml:space="preserve">оздаются </w:t>
      </w:r>
      <w:proofErr w:type="spellStart"/>
      <w:r w:rsidR="00E665B8">
        <w:rPr>
          <w:rFonts w:ascii="Times New Roman" w:hAnsi="Times New Roman" w:cs="Times New Roman"/>
          <w:sz w:val="26"/>
          <w:szCs w:val="26"/>
        </w:rPr>
        <w:t>резервы</w:t>
      </w:r>
      <w:r w:rsidR="00D85ECA" w:rsidRPr="00C33E16">
        <w:rPr>
          <w:rFonts w:ascii="Times New Roman" w:hAnsi="Times New Roman" w:cs="Times New Roman"/>
          <w:sz w:val="26"/>
          <w:szCs w:val="26"/>
        </w:rPr>
        <w:t>предстоящих</w:t>
      </w:r>
      <w:proofErr w:type="spellEnd"/>
      <w:r w:rsidR="00D85ECA" w:rsidRPr="00C33E16">
        <w:rPr>
          <w:rFonts w:ascii="Times New Roman" w:hAnsi="Times New Roman" w:cs="Times New Roman"/>
          <w:sz w:val="26"/>
          <w:szCs w:val="26"/>
        </w:rPr>
        <w:t xml:space="preserve"> расходов</w:t>
      </w:r>
      <w:r w:rsidR="00C56BA5" w:rsidRPr="00C33E16">
        <w:rPr>
          <w:rFonts w:ascii="Times New Roman" w:hAnsi="Times New Roman" w:cs="Times New Roman"/>
          <w:sz w:val="26"/>
          <w:szCs w:val="26"/>
        </w:rPr>
        <w:t xml:space="preserve"> (отпусков</w:t>
      </w:r>
      <w:r w:rsidR="00C56BA5" w:rsidRPr="0051359F">
        <w:rPr>
          <w:rFonts w:ascii="Times New Roman" w:hAnsi="Times New Roman" w:cs="Times New Roman"/>
          <w:sz w:val="26"/>
          <w:szCs w:val="26"/>
        </w:rPr>
        <w:t>)</w:t>
      </w:r>
      <w:proofErr w:type="gramStart"/>
      <w:r w:rsidRPr="0051359F">
        <w:rPr>
          <w:rFonts w:ascii="Times New Roman" w:hAnsi="Times New Roman" w:cs="Times New Roman"/>
          <w:sz w:val="26"/>
          <w:szCs w:val="26"/>
        </w:rPr>
        <w:t>.</w:t>
      </w:r>
      <w:r w:rsidR="0051359F">
        <w:rPr>
          <w:rFonts w:ascii="Times New Roman" w:hAnsi="Times New Roman" w:cs="Times New Roman"/>
          <w:sz w:val="26"/>
          <w:szCs w:val="26"/>
        </w:rPr>
        <w:t>С</w:t>
      </w:r>
      <w:proofErr w:type="gramEnd"/>
      <w:r w:rsidR="0051359F" w:rsidRPr="0051359F">
        <w:rPr>
          <w:rFonts w:ascii="Times New Roman" w:hAnsi="Times New Roman" w:cs="Times New Roman"/>
          <w:sz w:val="26"/>
          <w:szCs w:val="26"/>
        </w:rPr>
        <w:t xml:space="preserve">умма страховых взносов для отчислений в резерв рассчитывается </w:t>
      </w:r>
      <w:r w:rsidR="0051359F" w:rsidRPr="0051359F">
        <w:rPr>
          <w:rFonts w:ascii="Times New Roman" w:hAnsi="Times New Roman" w:cs="Times New Roman"/>
          <w:sz w:val="26"/>
          <w:szCs w:val="26"/>
        </w:rPr>
        <w:tab/>
        <w:t>с учетом действующей в текущем году величины предельной базы облагаемых выплат.</w:t>
      </w:r>
    </w:p>
    <w:p w:rsidR="00C56BA5" w:rsidRPr="00C33E16" w:rsidRDefault="00C56BA5" w:rsidP="0051359F">
      <w:pPr>
        <w:shd w:val="clear" w:color="auto" w:fill="FFFFFF"/>
        <w:spacing w:before="240" w:after="0" w:line="240" w:lineRule="auto"/>
        <w:ind w:right="5" w:firstLine="567"/>
        <w:jc w:val="both"/>
        <w:rPr>
          <w:rFonts w:ascii="Times New Roman" w:hAnsi="Times New Roman" w:cs="Times New Roman"/>
          <w:sz w:val="26"/>
          <w:szCs w:val="26"/>
        </w:rPr>
      </w:pPr>
    </w:p>
    <w:p w:rsidR="00AA67C9" w:rsidRPr="00C33E16" w:rsidRDefault="00AA67C9" w:rsidP="00814561">
      <w:pPr>
        <w:spacing w:line="240" w:lineRule="auto"/>
        <w:rPr>
          <w:rFonts w:ascii="Times New Roman" w:hAnsi="Times New Roman" w:cs="Times New Roman"/>
          <w:sz w:val="26"/>
          <w:szCs w:val="26"/>
        </w:rPr>
      </w:pPr>
    </w:p>
    <w:sectPr w:rsidR="00AA67C9" w:rsidRPr="00C33E16" w:rsidSect="008B2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C9"/>
    <w:rsid w:val="000028D7"/>
    <w:rsid w:val="000D571A"/>
    <w:rsid w:val="000E5D25"/>
    <w:rsid w:val="001B7A75"/>
    <w:rsid w:val="00213CD8"/>
    <w:rsid w:val="0028398A"/>
    <w:rsid w:val="002D4391"/>
    <w:rsid w:val="004F6AA8"/>
    <w:rsid w:val="0051359F"/>
    <w:rsid w:val="00662371"/>
    <w:rsid w:val="006B28D2"/>
    <w:rsid w:val="00814561"/>
    <w:rsid w:val="00837858"/>
    <w:rsid w:val="00892184"/>
    <w:rsid w:val="008B2F61"/>
    <w:rsid w:val="009D0930"/>
    <w:rsid w:val="009F7E9A"/>
    <w:rsid w:val="00AA67C9"/>
    <w:rsid w:val="00BC539F"/>
    <w:rsid w:val="00C262CF"/>
    <w:rsid w:val="00C2676B"/>
    <w:rsid w:val="00C33E16"/>
    <w:rsid w:val="00C501BF"/>
    <w:rsid w:val="00C56BA5"/>
    <w:rsid w:val="00C7690E"/>
    <w:rsid w:val="00C95303"/>
    <w:rsid w:val="00D37F03"/>
    <w:rsid w:val="00D85ECA"/>
    <w:rsid w:val="00DA4A29"/>
    <w:rsid w:val="00DF48EC"/>
    <w:rsid w:val="00E57F4D"/>
    <w:rsid w:val="00E665B8"/>
    <w:rsid w:val="00E8118A"/>
    <w:rsid w:val="00EB4890"/>
    <w:rsid w:val="00F9596A"/>
    <w:rsid w:val="00FB34BC"/>
    <w:rsid w:val="00FD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61"/>
  </w:style>
  <w:style w:type="paragraph" w:styleId="1">
    <w:name w:val="heading 1"/>
    <w:basedOn w:val="a"/>
    <w:next w:val="a"/>
    <w:link w:val="10"/>
    <w:uiPriority w:val="9"/>
    <w:qFormat/>
    <w:rsid w:val="00E811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28398A"/>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E"/>
    <w:pPr>
      <w:spacing w:after="120" w:line="240" w:lineRule="auto"/>
    </w:pPr>
    <w:rPr>
      <w:rFonts w:ascii="Times New Roman" w:eastAsia="Times New Roman" w:hAnsi="Times New Roman" w:cs="Times New Roman"/>
      <w:sz w:val="24"/>
      <w:szCs w:val="20"/>
      <w:lang/>
    </w:rPr>
  </w:style>
  <w:style w:type="character" w:customStyle="1" w:styleId="a4">
    <w:name w:val="Основной текст Знак"/>
    <w:basedOn w:val="a0"/>
    <w:link w:val="a3"/>
    <w:rsid w:val="00C7690E"/>
    <w:rPr>
      <w:rFonts w:ascii="Times New Roman" w:eastAsia="Times New Roman" w:hAnsi="Times New Roman" w:cs="Times New Roman"/>
      <w:sz w:val="24"/>
      <w:szCs w:val="20"/>
      <w:lang/>
    </w:rPr>
  </w:style>
  <w:style w:type="paragraph" w:customStyle="1" w:styleId="a5">
    <w:name w:val="Подстрочник"/>
    <w:basedOn w:val="a"/>
    <w:link w:val="a6"/>
    <w:rsid w:val="00BC539F"/>
    <w:pPr>
      <w:widowControl w:val="0"/>
      <w:autoSpaceDE w:val="0"/>
      <w:autoSpaceDN w:val="0"/>
      <w:adjustRightInd w:val="0"/>
      <w:spacing w:after="0" w:line="240" w:lineRule="auto"/>
      <w:jc w:val="center"/>
    </w:pPr>
    <w:rPr>
      <w:rFonts w:ascii="Arial" w:eastAsia="Times New Roman" w:hAnsi="Arial" w:cs="Times New Roman"/>
      <w:i/>
      <w:sz w:val="16"/>
      <w:szCs w:val="20"/>
      <w:lang/>
    </w:rPr>
  </w:style>
  <w:style w:type="character" w:customStyle="1" w:styleId="a6">
    <w:name w:val="Подстрочник Знак"/>
    <w:link w:val="a5"/>
    <w:locked/>
    <w:rsid w:val="00BC539F"/>
    <w:rPr>
      <w:rFonts w:ascii="Arial" w:eastAsia="Times New Roman" w:hAnsi="Arial" w:cs="Times New Roman"/>
      <w:i/>
      <w:sz w:val="16"/>
      <w:szCs w:val="20"/>
      <w:lang/>
    </w:rPr>
  </w:style>
  <w:style w:type="paragraph" w:styleId="a7">
    <w:name w:val="Normal (Web)"/>
    <w:basedOn w:val="a"/>
    <w:uiPriority w:val="99"/>
    <w:rsid w:val="00C26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6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аблица"/>
    <w:basedOn w:val="a3"/>
    <w:rsid w:val="0028398A"/>
    <w:pPr>
      <w:widowControl w:val="0"/>
      <w:autoSpaceDE w:val="0"/>
      <w:autoSpaceDN w:val="0"/>
      <w:adjustRightInd w:val="0"/>
      <w:spacing w:after="0"/>
      <w:jc w:val="center"/>
    </w:pPr>
  </w:style>
  <w:style w:type="paragraph" w:customStyle="1" w:styleId="a9">
    <w:name w:val="ШапкаТб"/>
    <w:basedOn w:val="a8"/>
    <w:uiPriority w:val="99"/>
    <w:rsid w:val="0028398A"/>
    <w:pPr>
      <w:autoSpaceDE/>
      <w:autoSpaceDN/>
      <w:adjustRightInd/>
      <w:spacing w:before="60" w:after="60"/>
    </w:pPr>
    <w:rPr>
      <w:rFonts w:ascii="Arial" w:hAnsi="Arial" w:cs="Arial"/>
      <w:i/>
      <w:iCs/>
      <w:sz w:val="18"/>
      <w:szCs w:val="18"/>
      <w:lang w:val="en-US" w:eastAsia="en-US"/>
    </w:rPr>
  </w:style>
  <w:style w:type="character" w:customStyle="1" w:styleId="20">
    <w:name w:val="Заголовок 2 Знак"/>
    <w:basedOn w:val="a0"/>
    <w:link w:val="2"/>
    <w:uiPriority w:val="9"/>
    <w:rsid w:val="0028398A"/>
    <w:rPr>
      <w:rFonts w:ascii="Arial" w:eastAsia="Times New Roman" w:hAnsi="Arial" w:cs="Times New Roman"/>
      <w:b/>
      <w:i/>
      <w:sz w:val="28"/>
      <w:szCs w:val="20"/>
      <w:lang w:eastAsia="ru-RU"/>
    </w:rPr>
  </w:style>
  <w:style w:type="character" w:customStyle="1" w:styleId="10">
    <w:name w:val="Заголовок 1 Знак"/>
    <w:basedOn w:val="a0"/>
    <w:link w:val="1"/>
    <w:uiPriority w:val="9"/>
    <w:rsid w:val="00E8118A"/>
    <w:rPr>
      <w:rFonts w:asciiTheme="majorHAnsi" w:eastAsiaTheme="majorEastAsia" w:hAnsiTheme="majorHAnsi" w:cstheme="majorBidi"/>
      <w:color w:val="365F91" w:themeColor="accent1" w:themeShade="BF"/>
      <w:sz w:val="32"/>
      <w:szCs w:val="32"/>
    </w:rPr>
  </w:style>
  <w:style w:type="character" w:customStyle="1" w:styleId="Heading1Char">
    <w:name w:val="Heading 1 Char"/>
    <w:locked/>
    <w:rsid w:val="00E8118A"/>
    <w:rPr>
      <w:rFonts w:ascii="Cambria" w:hAnsi="Cambria" w:cs="Times New Roman"/>
      <w:b/>
      <w:bCs/>
      <w:kern w:val="32"/>
      <w:sz w:val="32"/>
      <w:szCs w:val="32"/>
    </w:rPr>
  </w:style>
  <w:style w:type="paragraph" w:customStyle="1" w:styleId="hp">
    <w:name w:val="hp"/>
    <w:basedOn w:val="a"/>
    <w:rsid w:val="002D4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Шейдаева</dc:creator>
  <cp:keywords/>
  <dc:description/>
  <cp:lastModifiedBy>ПК</cp:lastModifiedBy>
  <cp:revision>30</cp:revision>
  <cp:lastPrinted>2019-07-17T06:17:00Z</cp:lastPrinted>
  <dcterms:created xsi:type="dcterms:W3CDTF">2019-07-15T13:59:00Z</dcterms:created>
  <dcterms:modified xsi:type="dcterms:W3CDTF">2019-07-22T07:40:00Z</dcterms:modified>
</cp:coreProperties>
</file>